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A1" w:rsidRPr="00EF77A1" w:rsidRDefault="00EF77A1" w:rsidP="00EF77A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EF77A1">
        <w:rPr>
          <w:b/>
          <w:color w:val="auto"/>
          <w:sz w:val="28"/>
          <w:szCs w:val="28"/>
        </w:rPr>
        <w:t>Pittsburg State University</w:t>
      </w:r>
    </w:p>
    <w:p w:rsidR="00EF77A1" w:rsidRPr="00EF77A1" w:rsidRDefault="00712ED1" w:rsidP="00EF77A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MATH 1</w:t>
      </w:r>
      <w:r w:rsidR="00D54842">
        <w:rPr>
          <w:b/>
          <w:color w:val="auto"/>
          <w:sz w:val="28"/>
          <w:szCs w:val="28"/>
        </w:rPr>
        <w:t>26</w:t>
      </w:r>
      <w:r w:rsidR="00EF77A1" w:rsidRPr="00EF77A1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–</w:t>
      </w:r>
      <w:r w:rsidR="00EF77A1" w:rsidRPr="00EF77A1">
        <w:rPr>
          <w:b/>
          <w:color w:val="auto"/>
          <w:sz w:val="28"/>
          <w:szCs w:val="28"/>
        </w:rPr>
        <w:t xml:space="preserve"> </w:t>
      </w:r>
      <w:proofErr w:type="spellStart"/>
      <w:r w:rsidR="00D54842" w:rsidRPr="00D54842">
        <w:rPr>
          <w:b/>
          <w:color w:val="auto"/>
          <w:sz w:val="28"/>
          <w:szCs w:val="28"/>
        </w:rPr>
        <w:t>Precalculus</w:t>
      </w:r>
      <w:proofErr w:type="spellEnd"/>
    </w:p>
    <w:p w:rsidR="00EF77A1" w:rsidRPr="00EF77A1" w:rsidRDefault="00EF77A1" w:rsidP="00EF77A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EF77A1">
        <w:rPr>
          <w:b/>
          <w:color w:val="auto"/>
          <w:sz w:val="28"/>
          <w:szCs w:val="28"/>
        </w:rPr>
        <w:t>Semester, Year and Instructor Name</w:t>
      </w:r>
    </w:p>
    <w:p w:rsidR="00EF77A1" w:rsidRPr="00EF77A1" w:rsidRDefault="00EF77A1" w:rsidP="00EF77A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EF77A1">
        <w:rPr>
          <w:b/>
          <w:color w:val="auto"/>
          <w:sz w:val="28"/>
          <w:szCs w:val="28"/>
        </w:rPr>
        <w:t>Office Hours</w:t>
      </w:r>
    </w:p>
    <w:p w:rsidR="00EF77A1" w:rsidRPr="00EF77A1" w:rsidRDefault="00EF77A1" w:rsidP="00EF77A1">
      <w:pPr>
        <w:spacing w:after="24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EF77A1">
        <w:rPr>
          <w:b/>
          <w:color w:val="auto"/>
          <w:sz w:val="28"/>
          <w:szCs w:val="28"/>
        </w:rPr>
        <w:t>Course Syllabus</w:t>
      </w:r>
    </w:p>
    <w:p w:rsidR="00EF77A1" w:rsidRPr="00EF77A1" w:rsidRDefault="00EF77A1" w:rsidP="00EF77A1">
      <w:pPr>
        <w:spacing w:after="240" w:line="240" w:lineRule="auto"/>
        <w:ind w:left="360" w:hanging="360"/>
        <w:rPr>
          <w:color w:val="auto"/>
          <w:sz w:val="20"/>
          <w:szCs w:val="20"/>
        </w:rPr>
      </w:pPr>
      <w:r w:rsidRPr="00EF77A1">
        <w:rPr>
          <w:color w:val="auto"/>
          <w:sz w:val="24"/>
          <w:szCs w:val="20"/>
        </w:rPr>
        <w:t xml:space="preserve">Course delivery method: Lecture, discussion, and </w:t>
      </w:r>
      <w:proofErr w:type="gramStart"/>
      <w:r w:rsidRPr="00EF77A1">
        <w:rPr>
          <w:color w:val="auto"/>
          <w:sz w:val="24"/>
          <w:szCs w:val="20"/>
        </w:rPr>
        <w:t>problem-solving</w:t>
      </w:r>
      <w:proofErr w:type="gramEnd"/>
    </w:p>
    <w:p w:rsidR="00CD5898" w:rsidRDefault="002414DA">
      <w:pPr>
        <w:pStyle w:val="Heading1"/>
        <w:ind w:left="-5"/>
      </w:pPr>
      <w:r>
        <w:t>PSU CATALOG COURSE DESCRIPTION</w:t>
      </w:r>
      <w:r>
        <w:rPr>
          <w:b w:val="0"/>
        </w:rPr>
        <w:t xml:space="preserve"> </w:t>
      </w:r>
    </w:p>
    <w:p w:rsidR="00CD5898" w:rsidRDefault="00D54842">
      <w:pPr>
        <w:ind w:left="-5"/>
      </w:pPr>
      <w:r w:rsidRPr="00D54842">
        <w:t xml:space="preserve">Pre-Calculus properties of the real number system, limits, functions, continuity, trigonometry, and graphics. </w:t>
      </w:r>
    </w:p>
    <w:p w:rsidR="00CD5898" w:rsidRDefault="002414DA">
      <w:pPr>
        <w:spacing w:after="0" w:line="259" w:lineRule="auto"/>
        <w:ind w:left="0" w:firstLine="0"/>
      </w:pPr>
      <w:r>
        <w:t xml:space="preserve"> </w:t>
      </w:r>
    </w:p>
    <w:p w:rsidR="00CD5898" w:rsidRDefault="002414DA">
      <w:pPr>
        <w:pStyle w:val="Heading1"/>
        <w:ind w:left="-5"/>
      </w:pPr>
      <w:r>
        <w:t>PREREQUISITES</w:t>
      </w:r>
      <w:r>
        <w:rPr>
          <w:b w:val="0"/>
        </w:rPr>
        <w:t xml:space="preserve"> </w:t>
      </w:r>
    </w:p>
    <w:p w:rsidR="00D54842" w:rsidRDefault="00D54842">
      <w:pPr>
        <w:spacing w:after="0" w:line="259" w:lineRule="auto"/>
        <w:ind w:left="0" w:firstLine="0"/>
      </w:pPr>
      <w:r w:rsidRPr="00D54842">
        <w:t>Two units of high school algebra and trigonometry or permission of instructor.</w:t>
      </w:r>
    </w:p>
    <w:p w:rsidR="00CD5898" w:rsidRDefault="002414DA">
      <w:pPr>
        <w:spacing w:after="0" w:line="259" w:lineRule="auto"/>
        <w:ind w:left="0" w:firstLine="0"/>
      </w:pPr>
      <w:r>
        <w:t xml:space="preserve"> </w:t>
      </w:r>
    </w:p>
    <w:p w:rsidR="00CD5898" w:rsidRDefault="002414DA">
      <w:pPr>
        <w:pStyle w:val="Heading1"/>
        <w:ind w:left="-5"/>
      </w:pPr>
      <w:r>
        <w:t xml:space="preserve">TEXTBOOK OR OTHER STUDENT PROVIDED MATERIALS </w:t>
      </w:r>
    </w:p>
    <w:p w:rsidR="00D54842" w:rsidRDefault="00D54842">
      <w:pPr>
        <w:spacing w:after="0" w:line="259" w:lineRule="auto"/>
        <w:ind w:left="0" w:firstLine="0"/>
        <w:rPr>
          <w:u w:val="single" w:color="000000"/>
        </w:rPr>
      </w:pPr>
      <w:proofErr w:type="spellStart"/>
      <w:r w:rsidRPr="00D54842">
        <w:rPr>
          <w:i/>
        </w:rPr>
        <w:t>Precalculus</w:t>
      </w:r>
      <w:proofErr w:type="spellEnd"/>
      <w:r w:rsidRPr="00D54842">
        <w:rPr>
          <w:i/>
        </w:rPr>
        <w:t xml:space="preserve"> a Concise Course</w:t>
      </w:r>
      <w:r w:rsidRPr="00D54842">
        <w:t xml:space="preserve"> second edition by Larson</w:t>
      </w:r>
    </w:p>
    <w:p w:rsidR="00CD5898" w:rsidRDefault="002414DA">
      <w:pPr>
        <w:spacing w:after="0" w:line="259" w:lineRule="auto"/>
        <w:ind w:left="0" w:firstLine="0"/>
      </w:pPr>
      <w:r>
        <w:t xml:space="preserve"> </w:t>
      </w:r>
    </w:p>
    <w:p w:rsidR="00CD5898" w:rsidRPr="00EF77A1" w:rsidRDefault="002414DA">
      <w:pPr>
        <w:pStyle w:val="Heading1"/>
        <w:ind w:left="-5"/>
        <w:rPr>
          <w:highlight w:val="yellow"/>
        </w:rPr>
      </w:pPr>
      <w:r w:rsidRPr="00EF77A1">
        <w:rPr>
          <w:highlight w:val="yellow"/>
        </w:rPr>
        <w:t>COURSE OBJECTIVES/LEARNING OUTCOMES</w:t>
      </w:r>
      <w:r w:rsidRPr="00EF77A1">
        <w:rPr>
          <w:b w:val="0"/>
          <w:highlight w:val="yellow"/>
        </w:rPr>
        <w:t xml:space="preserve"> </w:t>
      </w:r>
    </w:p>
    <w:p w:rsidR="00CD5898" w:rsidRPr="00EF77A1" w:rsidRDefault="002414DA">
      <w:pPr>
        <w:ind w:left="-5"/>
        <w:rPr>
          <w:highlight w:val="yellow"/>
        </w:rPr>
      </w:pPr>
      <w:r w:rsidRPr="00EF77A1">
        <w:rPr>
          <w:highlight w:val="yellow"/>
        </w:rPr>
        <w:t xml:space="preserve">Upon completion of this course, the student should be able to: 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Improve skills for manipulating algebraic expressions and equations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Develop a better understanding of functions, function operations including composition, and multiple−part functions.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Identify vertical and horizontal asymptotes and use them to help graph rational functions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Learn how to identify the domain and range of a function by its graph and where the function is increasing, decreasing or constant and if the graph is continuous.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Learn how to translate the graphs of basic functions and how to determine the equations of basic graphs that have been translated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Learn how to find the slope of a secant line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Find partial fractions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Solve logarithmic and exponential equations and how to convert from one form to the other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Develop a better understanding of complex numbers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Learn the relationship between acute angles of a right triangle and the sides of the right triangle as defined by the trigonometric functions and their inverses.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Learn the "special angles" in both degrees and radians and the values that the trigonometric functions assign to each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Identify the values of the trigonometric functions associated with a point in a rectangular coordinate system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Identify the coordinates associated with the intersection of a unit circle and the terminal sides of our special angles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Be able to graph the six basic trigonometric functions and a couple of inverse functions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Improve skills for verifying trigonometric identities</w:t>
      </w:r>
    </w:p>
    <w:p w:rsidR="00D54842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Use the Law of Sines and the Law of Cosines to solve oblique triangles.</w:t>
      </w:r>
    </w:p>
    <w:p w:rsidR="00CD5898" w:rsidRPr="00D54842" w:rsidRDefault="00D54842" w:rsidP="00D54842">
      <w:pPr>
        <w:pStyle w:val="ListParagraph"/>
        <w:numPr>
          <w:ilvl w:val="0"/>
          <w:numId w:val="5"/>
        </w:numPr>
        <w:rPr>
          <w:highlight w:val="yellow"/>
        </w:rPr>
      </w:pPr>
      <w:r w:rsidRPr="00D54842">
        <w:rPr>
          <w:highlight w:val="yellow"/>
        </w:rPr>
        <w:t>Improve skills for solving trigonometric equations</w:t>
      </w:r>
      <w:r w:rsidR="002414DA" w:rsidRPr="00D54842">
        <w:rPr>
          <w:highlight w:val="yellow"/>
        </w:rPr>
        <w:t xml:space="preserve"> </w:t>
      </w:r>
    </w:p>
    <w:p w:rsidR="00EF77A1" w:rsidRDefault="00EF77A1">
      <w:pPr>
        <w:spacing w:after="0" w:line="259" w:lineRule="auto"/>
        <w:ind w:left="0" w:firstLine="0"/>
      </w:pPr>
    </w:p>
    <w:p w:rsidR="00EF77A1" w:rsidRPr="00EF77A1" w:rsidRDefault="00EF77A1" w:rsidP="00EF77A1">
      <w:pPr>
        <w:spacing w:after="240" w:line="240" w:lineRule="auto"/>
        <w:ind w:left="0" w:firstLine="0"/>
        <w:rPr>
          <w:color w:val="auto"/>
          <w:sz w:val="24"/>
          <w:szCs w:val="20"/>
        </w:rPr>
      </w:pPr>
      <w:r w:rsidRPr="00EF77A1">
        <w:rPr>
          <w:b/>
          <w:color w:val="auto"/>
          <w:sz w:val="24"/>
          <w:szCs w:val="20"/>
        </w:rPr>
        <w:t>Pitt State Pathways:</w:t>
      </w:r>
      <w:r w:rsidRPr="00EF77A1">
        <w:rPr>
          <w:color w:val="auto"/>
          <w:sz w:val="24"/>
          <w:szCs w:val="20"/>
        </w:rPr>
        <w:t xml:space="preserve">  </w:t>
      </w:r>
    </w:p>
    <w:p w:rsidR="00EF77A1" w:rsidRPr="00EF77A1" w:rsidRDefault="00EF77A1" w:rsidP="00EF77A1">
      <w:pPr>
        <w:spacing w:after="240" w:line="240" w:lineRule="auto"/>
        <w:ind w:left="0" w:firstLine="0"/>
        <w:rPr>
          <w:color w:val="auto"/>
          <w:sz w:val="24"/>
          <w:szCs w:val="24"/>
          <w:highlight w:val="yellow"/>
        </w:rPr>
      </w:pPr>
      <w:r w:rsidRPr="00EF77A1">
        <w:rPr>
          <w:b/>
          <w:color w:val="auto"/>
          <w:sz w:val="24"/>
          <w:szCs w:val="24"/>
          <w:highlight w:val="yellow"/>
        </w:rPr>
        <w:t xml:space="preserve">Quantitative/Analytic Methods:  </w:t>
      </w:r>
      <w:r w:rsidRPr="00EF77A1">
        <w:rPr>
          <w:color w:val="auto"/>
          <w:sz w:val="24"/>
          <w:szCs w:val="24"/>
          <w:highlight w:val="yellow"/>
        </w:rPr>
        <w:t>Quantitative literacy and its methods refer to competency in working with numerical data</w:t>
      </w:r>
      <w:proofErr w:type="gramStart"/>
      <w:r w:rsidRPr="00EF77A1">
        <w:rPr>
          <w:color w:val="auto"/>
          <w:sz w:val="24"/>
          <w:szCs w:val="24"/>
          <w:highlight w:val="yellow"/>
        </w:rPr>
        <w:t xml:space="preserve">. </w:t>
      </w:r>
      <w:proofErr w:type="gramEnd"/>
      <w:r w:rsidRPr="00EF77A1">
        <w:rPr>
          <w:color w:val="auto"/>
          <w:sz w:val="24"/>
          <w:szCs w:val="24"/>
          <w:highlight w:val="yellow"/>
        </w:rPr>
        <w:t>Students with strong quantitative skills possess the ability to reason and solve problems from a wide array of contexts and everyday life situations</w:t>
      </w:r>
      <w:proofErr w:type="gramStart"/>
      <w:r w:rsidRPr="00EF77A1">
        <w:rPr>
          <w:color w:val="auto"/>
          <w:sz w:val="24"/>
          <w:szCs w:val="24"/>
          <w:highlight w:val="yellow"/>
        </w:rPr>
        <w:t xml:space="preserve">. </w:t>
      </w:r>
      <w:proofErr w:type="gramEnd"/>
      <w:r w:rsidRPr="00EF77A1">
        <w:rPr>
          <w:color w:val="auto"/>
          <w:sz w:val="24"/>
          <w:szCs w:val="24"/>
          <w:highlight w:val="yellow"/>
        </w:rPr>
        <w:t xml:space="preserve">They can create sophisticated arguments supported by objective evidence and can communicate those arguments in </w:t>
      </w:r>
      <w:r w:rsidRPr="00EF77A1">
        <w:rPr>
          <w:color w:val="auto"/>
          <w:sz w:val="24"/>
          <w:szCs w:val="24"/>
          <w:highlight w:val="yellow"/>
        </w:rPr>
        <w:lastRenderedPageBreak/>
        <w:t>a variety of formats (e.g. text, tables, graphs, mathematical equations, etc.) as appropriate.  Competency in this element means:</w:t>
      </w:r>
    </w:p>
    <w:p w:rsidR="00EF77A1" w:rsidRPr="00EF77A1" w:rsidRDefault="00EF77A1" w:rsidP="00EF77A1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rPr>
          <w:rFonts w:eastAsiaTheme="minorHAnsi"/>
          <w:color w:val="auto"/>
          <w:sz w:val="24"/>
          <w:szCs w:val="24"/>
          <w:highlight w:val="yellow"/>
        </w:rPr>
      </w:pPr>
      <w:r w:rsidRPr="00EF77A1">
        <w:rPr>
          <w:rFonts w:eastAsiaTheme="minorHAnsi"/>
          <w:i/>
          <w:color w:val="auto"/>
          <w:sz w:val="24"/>
          <w:szCs w:val="24"/>
          <w:highlight w:val="yellow"/>
        </w:rPr>
        <w:t>Applying</w:t>
      </w:r>
      <w:r w:rsidRPr="00EF77A1">
        <w:rPr>
          <w:rFonts w:eastAsiaTheme="minorHAnsi"/>
          <w:color w:val="auto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EF77A1" w:rsidRPr="00EF77A1" w:rsidRDefault="00EF77A1" w:rsidP="00EF77A1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rPr>
          <w:rFonts w:eastAsiaTheme="minorHAnsi"/>
          <w:color w:val="auto"/>
          <w:sz w:val="24"/>
          <w:szCs w:val="24"/>
          <w:highlight w:val="yellow"/>
        </w:rPr>
      </w:pPr>
      <w:r w:rsidRPr="00EF77A1">
        <w:rPr>
          <w:rFonts w:eastAsiaTheme="minorHAnsi"/>
          <w:i/>
          <w:color w:val="auto"/>
          <w:sz w:val="24"/>
          <w:szCs w:val="24"/>
          <w:highlight w:val="yellow"/>
        </w:rPr>
        <w:t>Explaining</w:t>
      </w:r>
      <w:r w:rsidRPr="00EF77A1">
        <w:rPr>
          <w:rFonts w:eastAsiaTheme="minorHAnsi"/>
          <w:color w:val="auto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EF77A1" w:rsidRPr="00EF77A1" w:rsidRDefault="00EF77A1" w:rsidP="00EF77A1">
      <w:pPr>
        <w:widowControl w:val="0"/>
        <w:numPr>
          <w:ilvl w:val="0"/>
          <w:numId w:val="3"/>
        </w:numPr>
        <w:autoSpaceDE w:val="0"/>
        <w:autoSpaceDN w:val="0"/>
        <w:spacing w:after="60" w:line="240" w:lineRule="auto"/>
        <w:rPr>
          <w:rFonts w:eastAsiaTheme="minorHAnsi"/>
          <w:color w:val="auto"/>
          <w:sz w:val="24"/>
          <w:szCs w:val="24"/>
          <w:highlight w:val="yellow"/>
        </w:rPr>
      </w:pPr>
      <w:r w:rsidRPr="00EF77A1">
        <w:rPr>
          <w:rFonts w:eastAsiaTheme="minorHAnsi"/>
          <w:i/>
          <w:color w:val="auto"/>
          <w:sz w:val="24"/>
          <w:szCs w:val="24"/>
          <w:highlight w:val="yellow"/>
        </w:rPr>
        <w:t>Explaining</w:t>
      </w:r>
      <w:r w:rsidRPr="00EF77A1">
        <w:rPr>
          <w:rFonts w:eastAsiaTheme="minorHAnsi"/>
          <w:color w:val="auto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EF77A1" w:rsidRPr="00EF77A1" w:rsidRDefault="00EF77A1" w:rsidP="00EF77A1">
      <w:pPr>
        <w:numPr>
          <w:ilvl w:val="0"/>
          <w:numId w:val="3"/>
        </w:numPr>
        <w:spacing w:after="240" w:line="240" w:lineRule="auto"/>
        <w:rPr>
          <w:b/>
          <w:color w:val="auto"/>
          <w:sz w:val="24"/>
          <w:szCs w:val="20"/>
          <w:highlight w:val="yellow"/>
        </w:rPr>
      </w:pPr>
      <w:r w:rsidRPr="00EF77A1">
        <w:rPr>
          <w:i/>
          <w:color w:val="auto"/>
          <w:sz w:val="24"/>
          <w:szCs w:val="24"/>
          <w:highlight w:val="yellow"/>
        </w:rPr>
        <w:t>Drawing</w:t>
      </w:r>
      <w:r w:rsidRPr="00EF77A1">
        <w:rPr>
          <w:color w:val="auto"/>
          <w:sz w:val="24"/>
          <w:szCs w:val="24"/>
          <w:highlight w:val="yellow"/>
        </w:rPr>
        <w:t xml:space="preserve"> and </w:t>
      </w:r>
      <w:r w:rsidRPr="00EF77A1">
        <w:rPr>
          <w:i/>
          <w:color w:val="auto"/>
          <w:sz w:val="24"/>
          <w:szCs w:val="24"/>
          <w:highlight w:val="yellow"/>
        </w:rPr>
        <w:t>communicating</w:t>
      </w:r>
      <w:r w:rsidRPr="00EF77A1">
        <w:rPr>
          <w:color w:val="auto"/>
          <w:sz w:val="24"/>
          <w:szCs w:val="24"/>
          <w:highlight w:val="yellow"/>
        </w:rPr>
        <w:t xml:space="preserve"> conclusions to support decisions</w:t>
      </w:r>
    </w:p>
    <w:p w:rsidR="00C216E2" w:rsidRPr="00C216E2" w:rsidRDefault="00C216E2" w:rsidP="00C216E2">
      <w:pPr>
        <w:pStyle w:val="BodyText"/>
        <w:spacing w:after="240"/>
        <w:rPr>
          <w:sz w:val="24"/>
          <w:highlight w:val="yellow"/>
        </w:rPr>
      </w:pPr>
      <w:r w:rsidRPr="00C216E2">
        <w:rPr>
          <w:b/>
          <w:sz w:val="24"/>
          <w:highlight w:val="yellow"/>
          <w:u w:val="single"/>
        </w:rPr>
        <w:t>Assessment</w:t>
      </w:r>
      <w:r w:rsidRPr="00C216E2">
        <w:rPr>
          <w:b/>
          <w:sz w:val="24"/>
          <w:highlight w:val="yellow"/>
        </w:rPr>
        <w:t>:</w:t>
      </w:r>
      <w:r w:rsidRPr="00C216E2">
        <w:rPr>
          <w:sz w:val="24"/>
          <w:highlight w:val="yellow"/>
        </w:rPr>
        <w:t xml:space="preserve">  As a Milestone I PSP course, the student is expected to:</w:t>
      </w:r>
    </w:p>
    <w:p w:rsidR="00C216E2" w:rsidRPr="00C216E2" w:rsidRDefault="00C216E2" w:rsidP="00C216E2">
      <w:pPr>
        <w:pStyle w:val="BodyText"/>
        <w:numPr>
          <w:ilvl w:val="0"/>
          <w:numId w:val="4"/>
        </w:numPr>
        <w:spacing w:after="240"/>
        <w:rPr>
          <w:sz w:val="24"/>
          <w:highlight w:val="yellow"/>
        </w:rPr>
      </w:pPr>
      <w:r w:rsidRPr="00C216E2">
        <w:rPr>
          <w:sz w:val="24"/>
          <w:highlight w:val="yellow"/>
        </w:rPr>
        <w:t>Apply tools of analysis and communicate results</w:t>
      </w:r>
    </w:p>
    <w:p w:rsidR="00CD5898" w:rsidRDefault="002414DA">
      <w:pPr>
        <w:pStyle w:val="Heading1"/>
        <w:ind w:left="-5"/>
      </w:pPr>
      <w:r>
        <w:t xml:space="preserve">TEACHING METHODS </w:t>
      </w:r>
    </w:p>
    <w:p w:rsidR="00CD5898" w:rsidRDefault="002414DA">
      <w:pPr>
        <w:ind w:left="-5"/>
      </w:pPr>
      <w:r>
        <w:t>Lecture, class discussion, assignments, quizzes, and e</w:t>
      </w:r>
      <w:r w:rsidR="00D54842">
        <w:t>xams will be used.</w:t>
      </w:r>
    </w:p>
    <w:p w:rsidR="00CD5898" w:rsidRDefault="002414DA" w:rsidP="00EF77A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D5898" w:rsidRDefault="002414DA">
      <w:pPr>
        <w:pStyle w:val="Heading1"/>
        <w:ind w:left="-5"/>
      </w:pPr>
      <w:r>
        <w:t xml:space="preserve">CLASS ATTENDANCE POLICY </w:t>
      </w:r>
    </w:p>
    <w:p w:rsidR="00CD5898" w:rsidRDefault="002414DA">
      <w:pPr>
        <w:numPr>
          <w:ilvl w:val="0"/>
          <w:numId w:val="2"/>
        </w:numPr>
        <w:spacing w:after="52"/>
        <w:ind w:hanging="360"/>
      </w:pPr>
      <w:r>
        <w:t>Class attendance is the responsibility of each student</w:t>
      </w:r>
      <w:proofErr w:type="gramStart"/>
      <w:r>
        <w:t xml:space="preserve">. </w:t>
      </w:r>
      <w:proofErr w:type="gramEnd"/>
      <w:r>
        <w:t xml:space="preserve">Students are expected to attend class and check class materials on Canvas </w:t>
      </w:r>
      <w:bookmarkStart w:id="0" w:name="_GoBack"/>
      <w:bookmarkEnd w:id="0"/>
      <w:r>
        <w:t xml:space="preserve">regularly.  </w:t>
      </w:r>
    </w:p>
    <w:p w:rsidR="00CD5898" w:rsidRDefault="002414DA">
      <w:pPr>
        <w:numPr>
          <w:ilvl w:val="0"/>
          <w:numId w:val="2"/>
        </w:numPr>
        <w:ind w:hanging="360"/>
      </w:pPr>
      <w:r>
        <w:t>Students with excessive absences could be dropped from class with a grade of “W.</w:t>
      </w:r>
      <w:proofErr w:type="gramStart"/>
      <w:r>
        <w:t xml:space="preserve">” </w:t>
      </w:r>
      <w:proofErr w:type="gramEnd"/>
      <w:r>
        <w:t xml:space="preserve">Please be aware of the deadlines to drop a class. </w:t>
      </w:r>
    </w:p>
    <w:p w:rsidR="00CD5898" w:rsidRDefault="002414DA">
      <w:pPr>
        <w:numPr>
          <w:ilvl w:val="0"/>
          <w:numId w:val="2"/>
        </w:numPr>
        <w:ind w:hanging="360"/>
      </w:pPr>
      <w:r>
        <w:t xml:space="preserve">Students who have school-sponsored activities that will conflict with the class should let the instructor know prior to the activity. </w:t>
      </w:r>
    </w:p>
    <w:p w:rsidR="00CD5898" w:rsidRDefault="002414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D5898" w:rsidRDefault="002414DA">
      <w:pPr>
        <w:pStyle w:val="Heading1"/>
        <w:ind w:left="-5"/>
      </w:pPr>
      <w:r>
        <w:t xml:space="preserve">CLASSROOM CONDUCT POLICY </w:t>
      </w:r>
    </w:p>
    <w:p w:rsidR="00CD5898" w:rsidRDefault="002414DA">
      <w:pPr>
        <w:spacing w:after="10" w:line="249" w:lineRule="auto"/>
      </w:pPr>
      <w:r>
        <w:rPr>
          <w:sz w:val="24"/>
        </w:rPr>
        <w:t xml:space="preserve">It is expected that the student will maintain behavior appropriate for a collegiate learning environment. </w:t>
      </w:r>
    </w:p>
    <w:p w:rsidR="00CD5898" w:rsidRDefault="002414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D5898" w:rsidRDefault="002414DA">
      <w:pPr>
        <w:pStyle w:val="Heading1"/>
        <w:ind w:left="-5"/>
      </w:pPr>
      <w:r w:rsidRPr="00EF77A1">
        <w:rPr>
          <w:highlight w:val="yellow"/>
        </w:rPr>
        <w:t>METHODS OF EVALUATION</w:t>
      </w:r>
      <w:r>
        <w:rPr>
          <w:b w:val="0"/>
        </w:rPr>
        <w:t xml:space="preserve"> </w:t>
      </w:r>
    </w:p>
    <w:p w:rsidR="00EF77A1" w:rsidRDefault="002414DA">
      <w:pPr>
        <w:ind w:left="-5"/>
      </w:pPr>
      <w:r w:rsidRPr="00EF77A1">
        <w:rPr>
          <w:highlight w:val="yellow"/>
        </w:rPr>
        <w:t>Th</w:t>
      </w:r>
      <w:r w:rsidR="00D54842">
        <w:rPr>
          <w:highlight w:val="yellow"/>
        </w:rPr>
        <w:t>ere will be daily</w:t>
      </w:r>
      <w:r w:rsidRPr="00EF77A1">
        <w:rPr>
          <w:highlight w:val="yellow"/>
        </w:rPr>
        <w:t xml:space="preserve"> assignments b</w:t>
      </w:r>
      <w:r w:rsidR="00D54842">
        <w:rPr>
          <w:highlight w:val="yellow"/>
        </w:rPr>
        <w:t>ased on</w:t>
      </w:r>
      <w:r w:rsidRPr="00EF77A1">
        <w:rPr>
          <w:highlight w:val="yellow"/>
        </w:rPr>
        <w:t xml:space="preserve"> lectures</w:t>
      </w:r>
      <w:proofErr w:type="gramStart"/>
      <w:r w:rsidRPr="00EF77A1">
        <w:rPr>
          <w:highlight w:val="yellow"/>
        </w:rPr>
        <w:t xml:space="preserve">. </w:t>
      </w:r>
      <w:proofErr w:type="gramEnd"/>
      <w:r w:rsidRPr="00EF77A1">
        <w:rPr>
          <w:highlight w:val="yellow"/>
        </w:rPr>
        <w:t>There will be quizzes</w:t>
      </w:r>
      <w:proofErr w:type="gramStart"/>
      <w:r w:rsidRPr="00EF77A1">
        <w:rPr>
          <w:highlight w:val="yellow"/>
        </w:rPr>
        <w:t xml:space="preserve">. </w:t>
      </w:r>
      <w:proofErr w:type="gramEnd"/>
      <w:r w:rsidRPr="00EF77A1">
        <w:rPr>
          <w:highlight w:val="yellow"/>
        </w:rPr>
        <w:t>There will be exams throughout the semester plus a comprehensive final exam</w:t>
      </w:r>
      <w:r w:rsidR="00C216E2" w:rsidRPr="00C216E2">
        <w:rPr>
          <w:highlight w:val="yellow"/>
        </w:rPr>
        <w:t xml:space="preserve">.  The final exam will include questions to assess your ability to apply tools of analysis and communicate results.  </w:t>
      </w:r>
      <w:r w:rsidRPr="00C216E2">
        <w:rPr>
          <w:highlight w:val="yellow"/>
        </w:rPr>
        <w:t xml:space="preserve">The </w:t>
      </w:r>
      <w:r w:rsidRPr="00EF77A1">
        <w:rPr>
          <w:highlight w:val="yellow"/>
        </w:rPr>
        <w:t>exams will be based on the text, lectures and assignments</w:t>
      </w:r>
      <w:proofErr w:type="gramStart"/>
      <w:r w:rsidRPr="00EF77A1">
        <w:rPr>
          <w:highlight w:val="yellow"/>
        </w:rPr>
        <w:t xml:space="preserve">. </w:t>
      </w:r>
      <w:proofErr w:type="gramEnd"/>
      <w:r w:rsidRPr="00EF77A1">
        <w:rPr>
          <w:highlight w:val="yellow"/>
        </w:rPr>
        <w:t>Your grade will be calculated by dividing the total points you have accumulated from assignments, quizzes and exams by the total points possible, and using the following scale.</w:t>
      </w:r>
    </w:p>
    <w:p w:rsidR="00EF77A1" w:rsidRDefault="00EF77A1">
      <w:pPr>
        <w:ind w:left="-5"/>
      </w:pPr>
    </w:p>
    <w:p w:rsidR="00CD5898" w:rsidRDefault="002414DA">
      <w:pPr>
        <w:tabs>
          <w:tab w:val="center" w:pos="3653"/>
          <w:tab w:val="center" w:pos="7274"/>
        </w:tabs>
        <w:spacing w:after="10" w:line="249" w:lineRule="auto"/>
        <w:ind w:left="0" w:firstLine="0"/>
      </w:pPr>
      <w:r>
        <w:rPr>
          <w:sz w:val="24"/>
        </w:rPr>
        <w:t xml:space="preserve">A: 90%-100%  </w:t>
      </w:r>
      <w:r>
        <w:rPr>
          <w:sz w:val="24"/>
        </w:rPr>
        <w:tab/>
        <w:t xml:space="preserve">B: 80%-89%      C: 70%-79% </w:t>
      </w:r>
      <w:r>
        <w:rPr>
          <w:sz w:val="24"/>
        </w:rPr>
        <w:tab/>
        <w:t xml:space="preserve">D: 60%-69%     F: below 60% </w:t>
      </w:r>
    </w:p>
    <w:p w:rsidR="00CD5898" w:rsidRDefault="00CD5898">
      <w:pPr>
        <w:spacing w:after="0" w:line="259" w:lineRule="auto"/>
        <w:ind w:left="0" w:firstLine="0"/>
      </w:pPr>
    </w:p>
    <w:p w:rsidR="00CD5898" w:rsidRDefault="002414DA">
      <w:pPr>
        <w:pStyle w:val="Heading1"/>
        <w:ind w:left="-5"/>
      </w:pPr>
      <w:r>
        <w:t xml:space="preserve">SYLLABUS SUPPLEMENT </w:t>
      </w:r>
    </w:p>
    <w:p w:rsidR="00CD5898" w:rsidRDefault="002414DA">
      <w:pPr>
        <w:ind w:left="-5"/>
      </w:pPr>
      <w:r>
        <w:t xml:space="preserve">For a list of important dates, policies, and other information, please consult the PSU Syllabus Supplement. </w:t>
      </w:r>
    </w:p>
    <w:p w:rsidR="00CD5898" w:rsidRDefault="00D54842">
      <w:pPr>
        <w:spacing w:after="0" w:line="259" w:lineRule="auto"/>
        <w:ind w:left="0" w:firstLine="0"/>
      </w:pPr>
      <w:hyperlink r:id="rId5">
        <w:r w:rsidR="002414DA">
          <w:rPr>
            <w:color w:val="0000FF"/>
            <w:sz w:val="24"/>
            <w:u w:val="single" w:color="0000FF"/>
          </w:rPr>
          <w:t>https://www.pittstate.edu/registrar/_files/documents/syllabus</w:t>
        </w:r>
      </w:hyperlink>
      <w:hyperlink r:id="rId6">
        <w:r w:rsidR="002414DA">
          <w:rPr>
            <w:color w:val="0000FF"/>
            <w:sz w:val="24"/>
            <w:u w:val="single" w:color="0000FF"/>
          </w:rPr>
          <w:t>-</w:t>
        </w:r>
      </w:hyperlink>
      <w:hyperlink r:id="rId7">
        <w:r w:rsidR="002414DA">
          <w:rPr>
            <w:color w:val="0000FF"/>
            <w:sz w:val="24"/>
            <w:u w:val="single" w:color="0000FF"/>
          </w:rPr>
          <w:t>supplement</w:t>
        </w:r>
      </w:hyperlink>
      <w:hyperlink r:id="rId8">
        <w:r w:rsidR="002414DA">
          <w:rPr>
            <w:color w:val="0000FF"/>
            <w:sz w:val="24"/>
            <w:u w:val="single" w:color="0000FF"/>
          </w:rPr>
          <w:t>-</w:t>
        </w:r>
      </w:hyperlink>
      <w:hyperlink r:id="rId9">
        <w:r w:rsidR="002414DA">
          <w:rPr>
            <w:color w:val="0000FF"/>
            <w:sz w:val="24"/>
            <w:u w:val="single" w:color="0000FF"/>
          </w:rPr>
          <w:t>fall</w:t>
        </w:r>
      </w:hyperlink>
      <w:hyperlink r:id="rId10">
        <w:r w:rsidR="002414DA">
          <w:rPr>
            <w:color w:val="0000FF"/>
            <w:sz w:val="24"/>
            <w:u w:val="single" w:color="0000FF"/>
          </w:rPr>
          <w:t>-</w:t>
        </w:r>
      </w:hyperlink>
      <w:hyperlink r:id="rId11">
        <w:r w:rsidR="002414DA">
          <w:rPr>
            <w:color w:val="0000FF"/>
            <w:sz w:val="24"/>
            <w:u w:val="single" w:color="0000FF"/>
          </w:rPr>
          <w:t>2018</w:t>
        </w:r>
      </w:hyperlink>
      <w:hyperlink r:id="rId12">
        <w:r w:rsidR="002414DA">
          <w:rPr>
            <w:sz w:val="24"/>
          </w:rPr>
          <w:t xml:space="preserve"> </w:t>
        </w:r>
      </w:hyperlink>
    </w:p>
    <w:p w:rsidR="00CD5898" w:rsidRDefault="002414D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D5898" w:rsidRDefault="002414DA">
      <w:pPr>
        <w:pStyle w:val="Heading1"/>
        <w:ind w:left="-5"/>
      </w:pPr>
      <w:r>
        <w:t>ASSISTANCE</w:t>
      </w:r>
      <w:r>
        <w:rPr>
          <w:b w:val="0"/>
        </w:rPr>
        <w:t xml:space="preserve"> </w:t>
      </w:r>
    </w:p>
    <w:p w:rsidR="00CD5898" w:rsidRDefault="002414DA">
      <w:pPr>
        <w:ind w:left="-5"/>
      </w:pPr>
      <w:r>
        <w:t xml:space="preserve">Please inform the instructor if you have a handicap or a disability about which the instructor needs to know. </w:t>
      </w:r>
    </w:p>
    <w:p w:rsidR="00CD5898" w:rsidRDefault="002414DA">
      <w:pPr>
        <w:spacing w:after="0" w:line="259" w:lineRule="auto"/>
        <w:ind w:left="0" w:firstLine="0"/>
      </w:pPr>
      <w:r>
        <w:t xml:space="preserve"> </w:t>
      </w:r>
    </w:p>
    <w:p w:rsidR="00CD5898" w:rsidRDefault="002414DA" w:rsidP="00EF77A1">
      <w:pPr>
        <w:spacing w:after="3520"/>
        <w:ind w:left="-5"/>
      </w:pPr>
      <w:r>
        <w:rPr>
          <w:b/>
        </w:rPr>
        <w:t>THE INSTRUCTOR RESERVES THE RIGHT TO AMEND AND TO REORGANIZE THIS SYLLABUS AT ANY TIME.</w:t>
      </w:r>
      <w:r>
        <w:t xml:space="preserve">  </w:t>
      </w:r>
      <w:r>
        <w:rPr>
          <w:sz w:val="20"/>
        </w:rPr>
        <w:t xml:space="preserve"> </w:t>
      </w:r>
    </w:p>
    <w:sectPr w:rsidR="00CD5898">
      <w:pgSz w:w="12240" w:h="15840"/>
      <w:pgMar w:top="723" w:right="1148" w:bottom="8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6CE"/>
    <w:multiLevelType w:val="hybridMultilevel"/>
    <w:tmpl w:val="7CF40A56"/>
    <w:lvl w:ilvl="0" w:tplc="F13E7E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A65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23D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2B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25B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A8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443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6E9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68A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24ACA"/>
    <w:multiLevelType w:val="hybridMultilevel"/>
    <w:tmpl w:val="E1ECD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F263C4"/>
    <w:multiLevelType w:val="hybridMultilevel"/>
    <w:tmpl w:val="54861C72"/>
    <w:lvl w:ilvl="0" w:tplc="C47076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41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084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8EE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432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C46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84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D05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454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0C60F5"/>
    <w:multiLevelType w:val="hybridMultilevel"/>
    <w:tmpl w:val="A73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98"/>
    <w:rsid w:val="002414DA"/>
    <w:rsid w:val="00712ED1"/>
    <w:rsid w:val="00C216E2"/>
    <w:rsid w:val="00CD5898"/>
    <w:rsid w:val="00D54842"/>
    <w:rsid w:val="00EE6C98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0F18"/>
  <w15:docId w15:val="{A4C3F4D2-9D0B-48F3-9FEB-12F49B6C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odyText">
    <w:name w:val="Body Text"/>
    <w:basedOn w:val="Normal"/>
    <w:link w:val="BodyTextChar"/>
    <w:rsid w:val="00C216E2"/>
    <w:pPr>
      <w:spacing w:after="120" w:line="240" w:lineRule="auto"/>
      <w:ind w:left="0" w:firstLine="0"/>
    </w:pPr>
    <w:rPr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16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state.edu/registrar/_files/documents/syllabus-supplement-fall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ttstate.edu/registrar/_files/documents/syllabus-supplement-fall-2018" TargetMode="External"/><Relationship Id="rId12" Type="http://schemas.openxmlformats.org/officeDocument/2006/relationships/hyperlink" Target="https://www.pittstate.edu/registrar/_files/documents/syllabus-supplement-fall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tstate.edu/registrar/_files/documents/syllabus-supplement-fall-2018" TargetMode="External"/><Relationship Id="rId11" Type="http://schemas.openxmlformats.org/officeDocument/2006/relationships/hyperlink" Target="https://www.pittstate.edu/registrar/_files/documents/syllabus-supplement-fall-2018" TargetMode="External"/><Relationship Id="rId5" Type="http://schemas.openxmlformats.org/officeDocument/2006/relationships/hyperlink" Target="https://www.pittstate.edu/registrar/_files/documents/syllabus-supplement-fall-2018" TargetMode="External"/><Relationship Id="rId10" Type="http://schemas.openxmlformats.org/officeDocument/2006/relationships/hyperlink" Target="https://www.pittstate.edu/registrar/_files/documents/syllabus-supplement-fall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ttstate.edu/registrar/_files/documents/syllabus-supplement-fall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113-02  College Algebra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113-02  College Algebra</dc:title>
  <dc:subject/>
  <dc:creator>User</dc:creator>
  <cp:keywords/>
  <cp:lastModifiedBy>Tim Flood</cp:lastModifiedBy>
  <cp:revision>3</cp:revision>
  <dcterms:created xsi:type="dcterms:W3CDTF">2019-02-01T21:35:00Z</dcterms:created>
  <dcterms:modified xsi:type="dcterms:W3CDTF">2019-02-01T21:44:00Z</dcterms:modified>
</cp:coreProperties>
</file>