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D3" w:rsidRPr="00924396" w:rsidRDefault="004F79D3" w:rsidP="009243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4396">
        <w:rPr>
          <w:b/>
          <w:sz w:val="28"/>
          <w:szCs w:val="28"/>
        </w:rPr>
        <w:t>Pittsburg State University</w:t>
      </w:r>
    </w:p>
    <w:p w:rsidR="00B0787A" w:rsidRDefault="00B0787A" w:rsidP="00924396">
      <w:pPr>
        <w:jc w:val="center"/>
        <w:rPr>
          <w:b/>
          <w:sz w:val="28"/>
          <w:szCs w:val="28"/>
        </w:rPr>
      </w:pPr>
      <w:r w:rsidRPr="00924396">
        <w:rPr>
          <w:b/>
          <w:sz w:val="28"/>
          <w:szCs w:val="28"/>
        </w:rPr>
        <w:t>MATH 113 - College Algebra</w:t>
      </w:r>
    </w:p>
    <w:p w:rsidR="008D1E3F" w:rsidRDefault="008D1E3F" w:rsidP="00924396">
      <w:pPr>
        <w:jc w:val="center"/>
        <w:rPr>
          <w:b/>
          <w:sz w:val="28"/>
          <w:szCs w:val="28"/>
        </w:rPr>
      </w:pPr>
      <w:r w:rsidRPr="008D1E3F">
        <w:rPr>
          <w:b/>
          <w:sz w:val="28"/>
          <w:szCs w:val="28"/>
        </w:rPr>
        <w:t>Semester, Year and Instructor Name</w:t>
      </w:r>
    </w:p>
    <w:p w:rsidR="008D1E3F" w:rsidRPr="00924396" w:rsidRDefault="008D1E3F" w:rsidP="00924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Hours</w:t>
      </w:r>
    </w:p>
    <w:p w:rsidR="00B0787A" w:rsidRDefault="00B0787A" w:rsidP="003E0377">
      <w:pPr>
        <w:spacing w:after="240"/>
        <w:jc w:val="center"/>
        <w:rPr>
          <w:b/>
          <w:sz w:val="28"/>
          <w:szCs w:val="28"/>
        </w:rPr>
      </w:pPr>
      <w:r w:rsidRPr="00924396">
        <w:rPr>
          <w:b/>
          <w:sz w:val="28"/>
          <w:szCs w:val="28"/>
        </w:rPr>
        <w:t>Course Syllabus</w:t>
      </w:r>
    </w:p>
    <w:p w:rsidR="00B0787A" w:rsidRPr="00924396" w:rsidRDefault="004E7254" w:rsidP="003E0377">
      <w:pPr>
        <w:pStyle w:val="List"/>
        <w:spacing w:after="240"/>
      </w:pPr>
      <w:r w:rsidRPr="00924396">
        <w:rPr>
          <w:sz w:val="24"/>
        </w:rPr>
        <w:t>Course delivery method: Lecture, discussion, and problem-solving</w:t>
      </w:r>
    </w:p>
    <w:p w:rsidR="00B0787A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b/>
          <w:sz w:val="24"/>
        </w:rPr>
        <w:t xml:space="preserve">Prerequisite: </w:t>
      </w:r>
      <w:r w:rsidR="00365C1F" w:rsidRPr="00365C1F">
        <w:rPr>
          <w:sz w:val="24"/>
        </w:rPr>
        <w:t>Grade of "B" or better in MATH 019 Intermediate Algebra or two units of high school algebra</w:t>
      </w:r>
      <w:r w:rsidR="00365C1F">
        <w:rPr>
          <w:sz w:val="24"/>
        </w:rPr>
        <w:t>.</w:t>
      </w:r>
    </w:p>
    <w:p w:rsidR="00B0787A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b/>
          <w:sz w:val="24"/>
        </w:rPr>
        <w:t xml:space="preserve">Course Description: </w:t>
      </w:r>
      <w:r w:rsidRPr="00924396">
        <w:rPr>
          <w:sz w:val="24"/>
        </w:rPr>
        <w:t>This course is designed for the students to learn traditional college algebra concepts and problem solving skills</w:t>
      </w:r>
      <w:r w:rsidR="00321D22" w:rsidRPr="00924396">
        <w:rPr>
          <w:sz w:val="24"/>
        </w:rPr>
        <w:t xml:space="preserve">.  </w:t>
      </w:r>
      <w:r w:rsidRPr="00924396">
        <w:rPr>
          <w:sz w:val="24"/>
        </w:rPr>
        <w:t>It should serve to prepare students not only for their higher studies in math but also to use and appreciate the concepts of algebra in day-to-day activities</w:t>
      </w:r>
      <w:r w:rsidR="00321D22" w:rsidRPr="00924396">
        <w:rPr>
          <w:sz w:val="24"/>
        </w:rPr>
        <w:t xml:space="preserve">.  </w:t>
      </w:r>
      <w:r w:rsidRPr="00924396">
        <w:rPr>
          <w:sz w:val="24"/>
        </w:rPr>
        <w:t xml:space="preserve">The topics </w:t>
      </w:r>
      <w:r w:rsidR="00321D22" w:rsidRPr="00924396">
        <w:rPr>
          <w:sz w:val="24"/>
        </w:rPr>
        <w:t>include</w:t>
      </w:r>
      <w:r w:rsidRPr="00924396">
        <w:rPr>
          <w:sz w:val="24"/>
        </w:rPr>
        <w:t xml:space="preserve"> operations with algebraic expressions; linear and quadratic functions; graphs of polynomial and rational functions; systems of equations; logarithmic and exponential functions; arithmetic and geometric progressions;</w:t>
      </w:r>
      <w:r w:rsidR="00365C1F">
        <w:rPr>
          <w:sz w:val="24"/>
        </w:rPr>
        <w:t xml:space="preserve"> permutations and combinations.</w:t>
      </w:r>
    </w:p>
    <w:p w:rsidR="00B0787A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sz w:val="24"/>
        </w:rPr>
        <w:t>Closed to students with credit in MATH 110 College Algebra with Review or MATH 126 Pre-Calculus or MATH 153 Introduction to Analytic Processes, or students with a letter grade of “C” or better in MATH 150 Calculus I.</w:t>
      </w:r>
    </w:p>
    <w:p w:rsidR="005F6A23" w:rsidRPr="00924396" w:rsidRDefault="005F6A23" w:rsidP="003E0377">
      <w:pPr>
        <w:pStyle w:val="Heading1"/>
        <w:spacing w:before="0" w:after="240"/>
        <w:rPr>
          <w:rFonts w:ascii="Times New Roman" w:hAnsi="Times New Roman"/>
          <w:sz w:val="24"/>
        </w:rPr>
      </w:pPr>
      <w:r w:rsidRPr="00924396">
        <w:rPr>
          <w:rFonts w:ascii="Times New Roman" w:hAnsi="Times New Roman"/>
          <w:sz w:val="24"/>
          <w:u w:val="single"/>
        </w:rPr>
        <w:t>Instructional Resources</w:t>
      </w:r>
      <w:r w:rsidRPr="00924396">
        <w:rPr>
          <w:rFonts w:ascii="Times New Roman" w:hAnsi="Times New Roman"/>
          <w:sz w:val="24"/>
        </w:rPr>
        <w:t>:</w:t>
      </w:r>
    </w:p>
    <w:p w:rsidR="005F6A23" w:rsidRPr="00924396" w:rsidRDefault="005F6A23" w:rsidP="003E0377">
      <w:pPr>
        <w:pStyle w:val="Heading1"/>
        <w:numPr>
          <w:ilvl w:val="0"/>
          <w:numId w:val="6"/>
        </w:numPr>
        <w:spacing w:before="0" w:after="240"/>
        <w:rPr>
          <w:rFonts w:ascii="Times New Roman" w:hAnsi="Times New Roman"/>
          <w:sz w:val="24"/>
        </w:rPr>
      </w:pPr>
      <w:r w:rsidRPr="00924396">
        <w:rPr>
          <w:rFonts w:ascii="Times New Roman" w:hAnsi="Times New Roman"/>
          <w:sz w:val="24"/>
        </w:rPr>
        <w:t>Required: MyMathLab (see accompanying handout)</w:t>
      </w:r>
    </w:p>
    <w:p w:rsidR="005F6A23" w:rsidRPr="00924396" w:rsidRDefault="005F6A23" w:rsidP="003E0377">
      <w:pPr>
        <w:pStyle w:val="Heading1"/>
        <w:numPr>
          <w:ilvl w:val="0"/>
          <w:numId w:val="6"/>
        </w:numPr>
        <w:spacing w:before="0" w:after="240"/>
        <w:rPr>
          <w:rFonts w:ascii="Times New Roman" w:hAnsi="Times New Roman"/>
          <w:sz w:val="24"/>
        </w:rPr>
      </w:pPr>
      <w:r w:rsidRPr="00924396">
        <w:rPr>
          <w:rFonts w:ascii="Times New Roman" w:hAnsi="Times New Roman"/>
          <w:sz w:val="24"/>
        </w:rPr>
        <w:t xml:space="preserve">Text - </w:t>
      </w:r>
      <w:r w:rsidR="00341BBE" w:rsidRPr="00924396">
        <w:rPr>
          <w:rFonts w:ascii="Times New Roman" w:hAnsi="Times New Roman"/>
          <w:i/>
          <w:sz w:val="24"/>
        </w:rPr>
        <w:t>College Algebra</w:t>
      </w:r>
      <w:r w:rsidR="00341BBE" w:rsidRPr="00924396">
        <w:rPr>
          <w:rFonts w:ascii="Times New Roman" w:hAnsi="Times New Roman"/>
          <w:sz w:val="24"/>
        </w:rPr>
        <w:t xml:space="preserve"> by Robert Blitzer, Fifth Edition, Pearson Prentice Hall, 2010</w:t>
      </w:r>
      <w:r w:rsidR="00321D22" w:rsidRPr="008D1E3F">
        <w:rPr>
          <w:rFonts w:ascii="Times New Roman" w:hAnsi="Times New Roman"/>
          <w:sz w:val="24"/>
        </w:rPr>
        <w:t xml:space="preserve">.  </w:t>
      </w:r>
      <w:r w:rsidRPr="008D1E3F">
        <w:rPr>
          <w:rFonts w:ascii="Times New Roman" w:hAnsi="Times New Roman"/>
          <w:sz w:val="24"/>
        </w:rPr>
        <w:t>(</w:t>
      </w:r>
      <w:proofErr w:type="gramStart"/>
      <w:r w:rsidRPr="008D1E3F">
        <w:rPr>
          <w:rFonts w:ascii="Times New Roman" w:hAnsi="Times New Roman"/>
          <w:sz w:val="24"/>
        </w:rPr>
        <w:t>optional</w:t>
      </w:r>
      <w:proofErr w:type="gramEnd"/>
      <w:r w:rsidRPr="00924396">
        <w:rPr>
          <w:rFonts w:ascii="Times New Roman" w:hAnsi="Times New Roman"/>
          <w:sz w:val="24"/>
        </w:rPr>
        <w:t>)</w:t>
      </w:r>
    </w:p>
    <w:p w:rsidR="005F6A23" w:rsidRPr="00924396" w:rsidRDefault="005F6A23" w:rsidP="003E0377">
      <w:pPr>
        <w:pStyle w:val="Heading1"/>
        <w:numPr>
          <w:ilvl w:val="0"/>
          <w:numId w:val="6"/>
        </w:numPr>
        <w:spacing w:before="0" w:after="240"/>
        <w:rPr>
          <w:rFonts w:ascii="Times New Roman" w:hAnsi="Times New Roman"/>
          <w:sz w:val="24"/>
        </w:rPr>
      </w:pPr>
      <w:r w:rsidRPr="00924396">
        <w:rPr>
          <w:rFonts w:ascii="Times New Roman" w:hAnsi="Times New Roman"/>
          <w:sz w:val="24"/>
        </w:rPr>
        <w:t>A tutorial room (223 Yates Hall) is available for your use free of charge.  Tutors and their schedules are posted on the door.</w:t>
      </w:r>
    </w:p>
    <w:p w:rsidR="00B0787A" w:rsidRPr="0081044D" w:rsidRDefault="00B0787A" w:rsidP="003E0377">
      <w:pPr>
        <w:pStyle w:val="BodyText"/>
        <w:spacing w:after="240"/>
        <w:rPr>
          <w:sz w:val="24"/>
          <w:highlight w:val="yellow"/>
        </w:rPr>
      </w:pPr>
      <w:r w:rsidRPr="0081044D">
        <w:rPr>
          <w:b/>
          <w:sz w:val="24"/>
          <w:highlight w:val="yellow"/>
        </w:rPr>
        <w:t>OBJECTIVES:</w:t>
      </w:r>
      <w:r w:rsidRPr="0081044D">
        <w:rPr>
          <w:sz w:val="24"/>
          <w:highlight w:val="yellow"/>
        </w:rPr>
        <w:t xml:space="preserve"> The student is expected to: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Review the fundamental concepts of the real numbers and algebraic expressions including rational expressions.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Develop a vocabulary of algebraic terms and symbols.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Develop problem-solving techniques for linear and quadratic equations and inequalities.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Develop graphing skills and interpretation of graphs by algebraic and technological methods.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Develop skills related to functions and matrices.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Develop an understanding of exponential and logarithmic functions.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t>Develop skills used in solving systems of equations.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60"/>
        <w:rPr>
          <w:sz w:val="24"/>
          <w:highlight w:val="yellow"/>
        </w:rPr>
      </w:pPr>
      <w:r w:rsidRPr="0081044D">
        <w:rPr>
          <w:sz w:val="24"/>
          <w:highlight w:val="yellow"/>
        </w:rPr>
        <w:lastRenderedPageBreak/>
        <w:t>Develop an understanding of how the above objectives apply to and can model real world situations in various disciplines.</w:t>
      </w:r>
    </w:p>
    <w:p w:rsidR="00B0787A" w:rsidRPr="0081044D" w:rsidRDefault="00B0787A" w:rsidP="003E0377">
      <w:pPr>
        <w:pStyle w:val="ListBullet"/>
        <w:numPr>
          <w:ilvl w:val="0"/>
          <w:numId w:val="8"/>
        </w:numPr>
        <w:spacing w:after="240"/>
        <w:rPr>
          <w:sz w:val="24"/>
          <w:highlight w:val="yellow"/>
        </w:rPr>
      </w:pPr>
      <w:r w:rsidRPr="0081044D">
        <w:rPr>
          <w:sz w:val="24"/>
          <w:highlight w:val="yellow"/>
        </w:rPr>
        <w:t>Develop an understanding of the processes and results of algebraic transformations.</w:t>
      </w:r>
    </w:p>
    <w:p w:rsidR="008D1E3F" w:rsidRDefault="00924396" w:rsidP="003E0377">
      <w:pPr>
        <w:pStyle w:val="BodyText"/>
        <w:spacing w:after="240"/>
        <w:rPr>
          <w:sz w:val="24"/>
        </w:rPr>
      </w:pPr>
      <w:r w:rsidRPr="00924396">
        <w:rPr>
          <w:b/>
          <w:sz w:val="24"/>
        </w:rPr>
        <w:t>Pitt State Pathways:</w:t>
      </w:r>
      <w:r w:rsidRPr="00924396">
        <w:rPr>
          <w:sz w:val="24"/>
        </w:rPr>
        <w:t xml:space="preserve">  </w:t>
      </w:r>
    </w:p>
    <w:p w:rsidR="00924396" w:rsidRPr="0081044D" w:rsidRDefault="00924396" w:rsidP="008D1E3F">
      <w:pPr>
        <w:pStyle w:val="BodyText"/>
        <w:spacing w:after="240"/>
        <w:rPr>
          <w:sz w:val="24"/>
          <w:szCs w:val="24"/>
          <w:highlight w:val="yellow"/>
        </w:rPr>
      </w:pPr>
      <w:r w:rsidRPr="0081044D">
        <w:rPr>
          <w:b/>
          <w:sz w:val="24"/>
          <w:szCs w:val="24"/>
          <w:highlight w:val="yellow"/>
          <w:u w:val="single"/>
        </w:rPr>
        <w:t>Quantitative/Analytic Methods</w:t>
      </w:r>
      <w:r w:rsidRPr="0081044D">
        <w:rPr>
          <w:b/>
          <w:sz w:val="24"/>
          <w:szCs w:val="24"/>
          <w:highlight w:val="yellow"/>
        </w:rPr>
        <w:t xml:space="preserve">:  </w:t>
      </w:r>
      <w:r w:rsidRPr="0081044D">
        <w:rPr>
          <w:sz w:val="24"/>
          <w:szCs w:val="24"/>
          <w:highlight w:val="yellow"/>
        </w:rPr>
        <w:t>Quantitative literacy and its methods refer to competency in working with numerical data</w:t>
      </w:r>
      <w:proofErr w:type="gramStart"/>
      <w:r w:rsidRPr="0081044D">
        <w:rPr>
          <w:sz w:val="24"/>
          <w:szCs w:val="24"/>
          <w:highlight w:val="yellow"/>
        </w:rPr>
        <w:t xml:space="preserve">. </w:t>
      </w:r>
      <w:proofErr w:type="gramEnd"/>
      <w:r w:rsidRPr="0081044D">
        <w:rPr>
          <w:sz w:val="24"/>
          <w:szCs w:val="24"/>
          <w:highlight w:val="yellow"/>
        </w:rPr>
        <w:t>Students with strong quantitative skills possess the ability to reason and solve problems from a wide array of contexts and everyday life situations</w:t>
      </w:r>
      <w:proofErr w:type="gramStart"/>
      <w:r w:rsidRPr="0081044D">
        <w:rPr>
          <w:sz w:val="24"/>
          <w:szCs w:val="24"/>
          <w:highlight w:val="yellow"/>
        </w:rPr>
        <w:t xml:space="preserve">. </w:t>
      </w:r>
      <w:proofErr w:type="gramEnd"/>
      <w:r w:rsidRPr="0081044D">
        <w:rPr>
          <w:sz w:val="24"/>
          <w:szCs w:val="24"/>
          <w:highlight w:val="yellow"/>
        </w:rPr>
        <w:t>They can create sophisticated arguments supported by objective evidence and can communicate those arguments in a variety of formats (e.g. text, tables, graphs, mathematical equations, etc.) as appropriate.  Competency in this element means:</w:t>
      </w:r>
    </w:p>
    <w:p w:rsidR="00924396" w:rsidRPr="0081044D" w:rsidRDefault="00924396" w:rsidP="003E03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60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81044D">
        <w:rPr>
          <w:rFonts w:ascii="Times New Roman" w:hAnsi="Times New Roman" w:cs="Times New Roman"/>
          <w:i/>
          <w:sz w:val="24"/>
          <w:szCs w:val="24"/>
          <w:highlight w:val="yellow"/>
        </w:rPr>
        <w:t>Applying</w:t>
      </w:r>
      <w:r w:rsidRPr="0081044D">
        <w:rPr>
          <w:rFonts w:ascii="Times New Roman" w:hAnsi="Times New Roman" w:cs="Times New Roman"/>
          <w:sz w:val="24"/>
          <w:szCs w:val="24"/>
          <w:highlight w:val="yellow"/>
        </w:rPr>
        <w:t xml:space="preserve"> a set of formal tools to interpret, represent, calculate, and analyze quantitative data; </w:t>
      </w:r>
    </w:p>
    <w:p w:rsidR="00924396" w:rsidRPr="0081044D" w:rsidRDefault="00924396" w:rsidP="003E03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60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81044D">
        <w:rPr>
          <w:rFonts w:ascii="Times New Roman" w:hAnsi="Times New Roman" w:cs="Times New Roman"/>
          <w:i/>
          <w:sz w:val="24"/>
          <w:szCs w:val="24"/>
          <w:highlight w:val="yellow"/>
        </w:rPr>
        <w:t>Explaining</w:t>
      </w:r>
      <w:r w:rsidRPr="0081044D">
        <w:rPr>
          <w:rFonts w:ascii="Times New Roman" w:hAnsi="Times New Roman" w:cs="Times New Roman"/>
          <w:sz w:val="24"/>
          <w:szCs w:val="24"/>
          <w:highlight w:val="yellow"/>
        </w:rPr>
        <w:t xml:space="preserve"> assumptions and rationale for selecting a mathematical approach to solve a problem;</w:t>
      </w:r>
    </w:p>
    <w:p w:rsidR="00924396" w:rsidRPr="0081044D" w:rsidRDefault="00924396" w:rsidP="003E03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60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81044D">
        <w:rPr>
          <w:rFonts w:ascii="Times New Roman" w:hAnsi="Times New Roman" w:cs="Times New Roman"/>
          <w:i/>
          <w:sz w:val="24"/>
          <w:szCs w:val="24"/>
          <w:highlight w:val="yellow"/>
        </w:rPr>
        <w:t>Explaining</w:t>
      </w:r>
      <w:r w:rsidRPr="0081044D">
        <w:rPr>
          <w:rFonts w:ascii="Times New Roman" w:hAnsi="Times New Roman" w:cs="Times New Roman"/>
          <w:sz w:val="24"/>
          <w:szCs w:val="24"/>
          <w:highlight w:val="yellow"/>
        </w:rPr>
        <w:t xml:space="preserve"> assumptions and rationale for selecting a mathematical or formal logical approach to solve a problem;</w:t>
      </w:r>
    </w:p>
    <w:p w:rsidR="00924396" w:rsidRPr="0081044D" w:rsidRDefault="00924396" w:rsidP="003E0377">
      <w:pPr>
        <w:pStyle w:val="BodyText"/>
        <w:numPr>
          <w:ilvl w:val="0"/>
          <w:numId w:val="9"/>
        </w:numPr>
        <w:spacing w:after="240"/>
        <w:rPr>
          <w:b/>
          <w:sz w:val="24"/>
          <w:highlight w:val="yellow"/>
        </w:rPr>
      </w:pPr>
      <w:r w:rsidRPr="0081044D">
        <w:rPr>
          <w:i/>
          <w:sz w:val="24"/>
          <w:szCs w:val="24"/>
          <w:highlight w:val="yellow"/>
        </w:rPr>
        <w:t>Drawing</w:t>
      </w:r>
      <w:r w:rsidRPr="0081044D">
        <w:rPr>
          <w:sz w:val="24"/>
          <w:szCs w:val="24"/>
          <w:highlight w:val="yellow"/>
        </w:rPr>
        <w:t xml:space="preserve"> and </w:t>
      </w:r>
      <w:r w:rsidRPr="0081044D">
        <w:rPr>
          <w:i/>
          <w:sz w:val="24"/>
          <w:szCs w:val="24"/>
          <w:highlight w:val="yellow"/>
        </w:rPr>
        <w:t>communicating</w:t>
      </w:r>
      <w:r w:rsidRPr="0081044D">
        <w:rPr>
          <w:sz w:val="24"/>
          <w:szCs w:val="24"/>
          <w:highlight w:val="yellow"/>
        </w:rPr>
        <w:t xml:space="preserve"> conclusions to support decisions</w:t>
      </w:r>
    </w:p>
    <w:p w:rsidR="005F6A23" w:rsidRPr="00924396" w:rsidRDefault="005F6A23" w:rsidP="003E0377">
      <w:pPr>
        <w:spacing w:after="240"/>
        <w:rPr>
          <w:sz w:val="24"/>
        </w:rPr>
      </w:pPr>
      <w:r w:rsidRPr="00924396">
        <w:rPr>
          <w:b/>
          <w:sz w:val="24"/>
        </w:rPr>
        <w:t>Method of Evaluation</w:t>
      </w:r>
      <w:r w:rsidRPr="00924396">
        <w:rPr>
          <w:sz w:val="24"/>
        </w:rPr>
        <w:t>:</w:t>
      </w:r>
    </w:p>
    <w:p w:rsidR="005F6A23" w:rsidRPr="0081044D" w:rsidRDefault="005F6A23" w:rsidP="003E0377">
      <w:pPr>
        <w:spacing w:after="240"/>
        <w:rPr>
          <w:sz w:val="24"/>
          <w:highlight w:val="yellow"/>
        </w:rPr>
      </w:pPr>
      <w:r w:rsidRPr="0081044D">
        <w:rPr>
          <w:b/>
          <w:sz w:val="24"/>
          <w:highlight w:val="yellow"/>
          <w:u w:val="single"/>
        </w:rPr>
        <w:t>Tests</w:t>
      </w:r>
      <w:r w:rsidRPr="0081044D">
        <w:rPr>
          <w:sz w:val="24"/>
          <w:highlight w:val="yellow"/>
        </w:rPr>
        <w:t xml:space="preserve">:  There will be 4 unit tests plus a comprehensive final exam.  These tests will be based on the text, in-class notes, homework, and in-class projects.  Your unit tests will be worth </w:t>
      </w:r>
      <w:r w:rsidRPr="0081044D">
        <w:rPr>
          <w:b/>
          <w:sz w:val="24"/>
          <w:highlight w:val="yellow"/>
        </w:rPr>
        <w:t>40%</w:t>
      </w:r>
      <w:r w:rsidRPr="0081044D">
        <w:rPr>
          <w:sz w:val="24"/>
          <w:highlight w:val="yellow"/>
        </w:rPr>
        <w:t xml:space="preserve"> of your final grade.  The comprehensive final exam will count </w:t>
      </w:r>
      <w:r w:rsidRPr="0081044D">
        <w:rPr>
          <w:b/>
          <w:sz w:val="24"/>
          <w:highlight w:val="yellow"/>
        </w:rPr>
        <w:t>20%</w:t>
      </w:r>
      <w:r w:rsidRPr="0081044D">
        <w:rPr>
          <w:sz w:val="24"/>
          <w:highlight w:val="yellow"/>
        </w:rPr>
        <w:t xml:space="preserve"> of your final grade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b/>
          <w:sz w:val="24"/>
          <w:highlight w:val="yellow"/>
        </w:rPr>
        <w:t>Make-up tests will not be given, but one score from an hourly exam will be dropped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sz w:val="24"/>
          <w:highlight w:val="yellow"/>
        </w:rPr>
        <w:t>You will have a unit test during the week prior to finals.</w:t>
      </w:r>
    </w:p>
    <w:p w:rsidR="005F6A23" w:rsidRPr="0081044D" w:rsidRDefault="005F6A23" w:rsidP="003E0377">
      <w:pPr>
        <w:pStyle w:val="BodyText"/>
        <w:spacing w:after="240"/>
        <w:rPr>
          <w:b/>
          <w:sz w:val="24"/>
          <w:highlight w:val="yellow"/>
        </w:rPr>
      </w:pPr>
      <w:r w:rsidRPr="0081044D">
        <w:rPr>
          <w:b/>
          <w:sz w:val="24"/>
          <w:highlight w:val="yellow"/>
        </w:rPr>
        <w:t xml:space="preserve">The comprehensive </w:t>
      </w:r>
      <w:r w:rsidR="000E0930" w:rsidRPr="0081044D">
        <w:rPr>
          <w:b/>
          <w:sz w:val="24"/>
          <w:highlight w:val="yellow"/>
        </w:rPr>
        <w:t>fin</w:t>
      </w:r>
      <w:r w:rsidR="009148C0" w:rsidRPr="0081044D">
        <w:rPr>
          <w:b/>
          <w:sz w:val="24"/>
          <w:highlight w:val="yellow"/>
        </w:rPr>
        <w:t xml:space="preserve">al exam will be Tuesday, Dec. </w:t>
      </w:r>
      <w:proofErr w:type="gramStart"/>
      <w:r w:rsidR="009148C0" w:rsidRPr="0081044D">
        <w:rPr>
          <w:b/>
          <w:sz w:val="24"/>
          <w:highlight w:val="yellow"/>
        </w:rPr>
        <w:t>11</w:t>
      </w:r>
      <w:r w:rsidR="007D473C" w:rsidRPr="0081044D">
        <w:rPr>
          <w:b/>
          <w:sz w:val="24"/>
          <w:highlight w:val="yellow"/>
          <w:vertAlign w:val="superscript"/>
        </w:rPr>
        <w:t>th</w:t>
      </w:r>
      <w:proofErr w:type="gramEnd"/>
      <w:r w:rsidRPr="0081044D">
        <w:rPr>
          <w:b/>
          <w:sz w:val="24"/>
          <w:highlight w:val="yellow"/>
        </w:rPr>
        <w:t>, 4:00 – 5:50 p.m.</w:t>
      </w:r>
    </w:p>
    <w:p w:rsidR="005F6A23" w:rsidRPr="0081044D" w:rsidRDefault="005F6A23" w:rsidP="003E0377">
      <w:pPr>
        <w:spacing w:after="240"/>
        <w:rPr>
          <w:sz w:val="24"/>
          <w:highlight w:val="yellow"/>
        </w:rPr>
      </w:pPr>
      <w:r w:rsidRPr="0081044D">
        <w:rPr>
          <w:b/>
          <w:sz w:val="24"/>
          <w:highlight w:val="yellow"/>
          <w:u w:val="single"/>
        </w:rPr>
        <w:t>Quizzes</w:t>
      </w:r>
      <w:r w:rsidRPr="0081044D">
        <w:rPr>
          <w:b/>
          <w:sz w:val="24"/>
          <w:highlight w:val="yellow"/>
        </w:rPr>
        <w:t xml:space="preserve">: </w:t>
      </w:r>
      <w:r w:rsidRPr="0081044D">
        <w:rPr>
          <w:sz w:val="24"/>
          <w:highlight w:val="yellow"/>
        </w:rPr>
        <w:t xml:space="preserve"> Group projects and pop quizzes will be in-class and </w:t>
      </w:r>
      <w:r w:rsidRPr="0081044D">
        <w:rPr>
          <w:b/>
          <w:sz w:val="24"/>
          <w:highlight w:val="yellow"/>
        </w:rPr>
        <w:t>cannot</w:t>
      </w:r>
      <w:r w:rsidRPr="0081044D">
        <w:rPr>
          <w:sz w:val="24"/>
          <w:highlight w:val="yellow"/>
        </w:rPr>
        <w:t xml:space="preserve"> </w:t>
      </w:r>
      <w:r w:rsidRPr="0081044D">
        <w:rPr>
          <w:b/>
          <w:sz w:val="24"/>
          <w:highlight w:val="yellow"/>
        </w:rPr>
        <w:t>be made up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sz w:val="24"/>
          <w:highlight w:val="yellow"/>
        </w:rPr>
        <w:t xml:space="preserve">Pop quizzes/in class projects/board problems will count for </w:t>
      </w:r>
      <w:r w:rsidRPr="0081044D">
        <w:rPr>
          <w:b/>
          <w:sz w:val="24"/>
          <w:highlight w:val="yellow"/>
        </w:rPr>
        <w:t>20%</w:t>
      </w:r>
      <w:r w:rsidRPr="0081044D">
        <w:rPr>
          <w:sz w:val="24"/>
          <w:highlight w:val="yellow"/>
        </w:rPr>
        <w:t xml:space="preserve"> of your final grade.</w:t>
      </w:r>
    </w:p>
    <w:p w:rsidR="005F6A23" w:rsidRPr="00924396" w:rsidRDefault="005F6A23" w:rsidP="003E0377">
      <w:pPr>
        <w:spacing w:after="240"/>
        <w:rPr>
          <w:sz w:val="24"/>
        </w:rPr>
      </w:pPr>
      <w:r w:rsidRPr="0081044D">
        <w:rPr>
          <w:b/>
          <w:sz w:val="24"/>
          <w:highlight w:val="yellow"/>
          <w:u w:val="single"/>
        </w:rPr>
        <w:t>Homework</w:t>
      </w:r>
      <w:r w:rsidRPr="0081044D">
        <w:rPr>
          <w:b/>
          <w:sz w:val="24"/>
          <w:highlight w:val="yellow"/>
        </w:rPr>
        <w:t xml:space="preserve">: </w:t>
      </w:r>
      <w:r w:rsidRPr="0081044D">
        <w:rPr>
          <w:sz w:val="24"/>
          <w:highlight w:val="yellow"/>
        </w:rPr>
        <w:t>Homework will be given each class session either on MyMathLab and/or from the textbook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sz w:val="24"/>
          <w:highlight w:val="yellow"/>
        </w:rPr>
        <w:t xml:space="preserve">In MyMathLab the "DO HOMEOWORK" button will take you to the actual homework </w:t>
      </w:r>
      <w:r w:rsidR="007D473C" w:rsidRPr="0081044D">
        <w:rPr>
          <w:sz w:val="24"/>
          <w:highlight w:val="yellow"/>
        </w:rPr>
        <w:t>problems, which</w:t>
      </w:r>
      <w:r w:rsidRPr="0081044D">
        <w:rPr>
          <w:sz w:val="24"/>
          <w:highlight w:val="yellow"/>
        </w:rPr>
        <w:t xml:space="preserve"> may be worked and reworked to improve your score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sz w:val="24"/>
          <w:highlight w:val="yellow"/>
        </w:rPr>
        <w:t>You are free to work more problems than those assigned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sz w:val="24"/>
          <w:highlight w:val="yellow"/>
        </w:rPr>
        <w:t>Just go to the Study Plan and you can select problems by chapter/section/topic</w:t>
      </w:r>
      <w:r w:rsidR="00321D22" w:rsidRPr="0081044D">
        <w:rPr>
          <w:sz w:val="24"/>
          <w:highlight w:val="yellow"/>
        </w:rPr>
        <w:t xml:space="preserve">.  </w:t>
      </w:r>
      <w:r w:rsidR="00536B6E" w:rsidRPr="0081044D">
        <w:rPr>
          <w:sz w:val="24"/>
          <w:highlight w:val="yellow"/>
        </w:rPr>
        <w:t>Work from the Study Plan will not affect your grade</w:t>
      </w:r>
      <w:r w:rsidR="00321D22" w:rsidRPr="0081044D">
        <w:rPr>
          <w:sz w:val="24"/>
          <w:highlight w:val="yellow"/>
        </w:rPr>
        <w:t xml:space="preserve">.  </w:t>
      </w:r>
      <w:r w:rsidRPr="0081044D">
        <w:rPr>
          <w:b/>
          <w:sz w:val="24"/>
          <w:highlight w:val="yellow"/>
        </w:rPr>
        <w:t>Homework not done by the due date will be scored as a zero</w:t>
      </w:r>
      <w:r w:rsidR="00321D22" w:rsidRPr="0081044D">
        <w:rPr>
          <w:b/>
          <w:sz w:val="24"/>
          <w:highlight w:val="yellow"/>
        </w:rPr>
        <w:t xml:space="preserve">.  </w:t>
      </w:r>
      <w:r w:rsidRPr="0081044D">
        <w:rPr>
          <w:sz w:val="24"/>
          <w:highlight w:val="yellow"/>
        </w:rPr>
        <w:t xml:space="preserve">Homework will be weighted to count for </w:t>
      </w:r>
      <w:r w:rsidRPr="0081044D">
        <w:rPr>
          <w:b/>
          <w:sz w:val="24"/>
          <w:highlight w:val="yellow"/>
        </w:rPr>
        <w:t>20%</w:t>
      </w:r>
      <w:r w:rsidRPr="0081044D">
        <w:rPr>
          <w:sz w:val="24"/>
          <w:highlight w:val="yellow"/>
        </w:rPr>
        <w:t xml:space="preserve"> of your final grade.</w:t>
      </w:r>
      <w:r w:rsidRPr="00924396">
        <w:rPr>
          <w:sz w:val="24"/>
        </w:rPr>
        <w:t xml:space="preserve"> </w:t>
      </w:r>
    </w:p>
    <w:p w:rsidR="004E7254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sz w:val="24"/>
        </w:rPr>
        <w:t>Generally, you should expect to spend at least two hours working outside of class for each hour in class; “homework” includes studying</w:t>
      </w:r>
      <w:r w:rsidR="00536B6E" w:rsidRPr="00924396">
        <w:rPr>
          <w:sz w:val="24"/>
        </w:rPr>
        <w:t xml:space="preserve"> your notes, the text and solving problems. </w:t>
      </w:r>
    </w:p>
    <w:p w:rsidR="00B0787A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sz w:val="24"/>
        </w:rPr>
        <w:lastRenderedPageBreak/>
        <w:t>The final grade will be based on your percentage of total points from the hourly exams, quizzes, homework, and the final.</w:t>
      </w:r>
    </w:p>
    <w:p w:rsidR="00B0787A" w:rsidRPr="00924396" w:rsidRDefault="00B0787A" w:rsidP="003E0377">
      <w:pPr>
        <w:pStyle w:val="BodyText"/>
        <w:tabs>
          <w:tab w:val="left" w:pos="2970"/>
          <w:tab w:val="left" w:pos="4320"/>
        </w:tabs>
        <w:spacing w:after="60"/>
        <w:rPr>
          <w:sz w:val="24"/>
        </w:rPr>
      </w:pPr>
      <w:r w:rsidRPr="00924396">
        <w:rPr>
          <w:sz w:val="24"/>
        </w:rPr>
        <w:t>The grading scale is:</w:t>
      </w:r>
      <w:r w:rsidRPr="00924396">
        <w:rPr>
          <w:sz w:val="24"/>
        </w:rPr>
        <w:tab/>
        <w:t>90 - 100%</w:t>
      </w:r>
      <w:r w:rsidRPr="00924396">
        <w:rPr>
          <w:sz w:val="24"/>
        </w:rPr>
        <w:tab/>
        <w:t>A</w:t>
      </w:r>
    </w:p>
    <w:p w:rsidR="00B0787A" w:rsidRPr="00924396" w:rsidRDefault="00B0787A" w:rsidP="003E0377">
      <w:pPr>
        <w:pStyle w:val="BodyText"/>
        <w:tabs>
          <w:tab w:val="left" w:pos="2970"/>
          <w:tab w:val="left" w:pos="4320"/>
        </w:tabs>
        <w:spacing w:after="60"/>
        <w:rPr>
          <w:sz w:val="24"/>
        </w:rPr>
      </w:pPr>
      <w:r w:rsidRPr="00924396">
        <w:rPr>
          <w:sz w:val="24"/>
        </w:rPr>
        <w:tab/>
        <w:t>80 - 89%</w:t>
      </w:r>
      <w:r w:rsidRPr="00924396">
        <w:rPr>
          <w:sz w:val="24"/>
        </w:rPr>
        <w:tab/>
        <w:t xml:space="preserve">B </w:t>
      </w:r>
    </w:p>
    <w:p w:rsidR="00B0787A" w:rsidRPr="00924396" w:rsidRDefault="00B0787A" w:rsidP="003E0377">
      <w:pPr>
        <w:pStyle w:val="BodyText"/>
        <w:tabs>
          <w:tab w:val="left" w:pos="2970"/>
          <w:tab w:val="left" w:pos="4320"/>
        </w:tabs>
        <w:spacing w:after="60"/>
        <w:rPr>
          <w:sz w:val="24"/>
        </w:rPr>
      </w:pPr>
      <w:r w:rsidRPr="00924396">
        <w:rPr>
          <w:sz w:val="24"/>
        </w:rPr>
        <w:tab/>
        <w:t>70 - 79%</w:t>
      </w:r>
      <w:r w:rsidRPr="00924396">
        <w:rPr>
          <w:sz w:val="24"/>
        </w:rPr>
        <w:tab/>
        <w:t>C</w:t>
      </w:r>
    </w:p>
    <w:p w:rsidR="00B0787A" w:rsidRPr="00924396" w:rsidRDefault="00B0787A" w:rsidP="003E0377">
      <w:pPr>
        <w:pStyle w:val="BodyText"/>
        <w:tabs>
          <w:tab w:val="left" w:pos="2970"/>
          <w:tab w:val="left" w:pos="4320"/>
        </w:tabs>
        <w:spacing w:after="60"/>
        <w:rPr>
          <w:sz w:val="24"/>
        </w:rPr>
      </w:pPr>
      <w:r w:rsidRPr="00924396">
        <w:rPr>
          <w:sz w:val="24"/>
        </w:rPr>
        <w:tab/>
        <w:t>60 - 69%</w:t>
      </w:r>
      <w:r w:rsidRPr="00924396">
        <w:rPr>
          <w:sz w:val="24"/>
        </w:rPr>
        <w:tab/>
        <w:t>D</w:t>
      </w:r>
    </w:p>
    <w:p w:rsidR="00B0787A" w:rsidRPr="00924396" w:rsidRDefault="00B0787A" w:rsidP="003E0377">
      <w:pPr>
        <w:pStyle w:val="BodyText"/>
        <w:tabs>
          <w:tab w:val="left" w:pos="2970"/>
          <w:tab w:val="left" w:pos="4320"/>
        </w:tabs>
        <w:spacing w:after="240"/>
        <w:rPr>
          <w:sz w:val="24"/>
        </w:rPr>
      </w:pPr>
      <w:r w:rsidRPr="00924396">
        <w:rPr>
          <w:sz w:val="24"/>
        </w:rPr>
        <w:tab/>
        <w:t>Below 60%</w:t>
      </w:r>
      <w:r w:rsidRPr="00924396">
        <w:rPr>
          <w:sz w:val="24"/>
        </w:rPr>
        <w:tab/>
        <w:t>F</w:t>
      </w:r>
    </w:p>
    <w:p w:rsidR="00B0787A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b/>
          <w:sz w:val="24"/>
        </w:rPr>
        <w:t>Basic Skills Exam:</w:t>
      </w:r>
      <w:r w:rsidRPr="00924396">
        <w:rPr>
          <w:sz w:val="24"/>
        </w:rPr>
        <w:t xml:space="preserve"> To receive credit in this course you </w:t>
      </w:r>
      <w:r w:rsidRPr="00924396">
        <w:rPr>
          <w:b/>
          <w:sz w:val="24"/>
        </w:rPr>
        <w:t>MUST</w:t>
      </w:r>
      <w:r w:rsidRPr="00924396">
        <w:rPr>
          <w:sz w:val="24"/>
        </w:rPr>
        <w:t xml:space="preserve"> score at least 9 out of 11 correct on a basic skills examination</w:t>
      </w:r>
      <w:r w:rsidR="00321D22" w:rsidRPr="00924396">
        <w:rPr>
          <w:sz w:val="24"/>
        </w:rPr>
        <w:t xml:space="preserve">.  </w:t>
      </w:r>
      <w:r w:rsidRPr="00924396">
        <w:rPr>
          <w:sz w:val="24"/>
        </w:rPr>
        <w:t>The skills tested are required for success in the mathematics courses for which this course is a prerequisite.  Your score on this test will not be counted in your course grade.  You may take the test at times scheduled with</w:t>
      </w:r>
      <w:r w:rsidR="000E0930" w:rsidRPr="00924396">
        <w:rPr>
          <w:sz w:val="24"/>
        </w:rPr>
        <w:t xml:space="preserve"> your instructor from October</w:t>
      </w:r>
      <w:r w:rsidR="007D473C" w:rsidRPr="00924396">
        <w:rPr>
          <w:sz w:val="24"/>
        </w:rPr>
        <w:t xml:space="preserve"> 9</w:t>
      </w:r>
      <w:r w:rsidR="004F79D3" w:rsidRPr="00924396">
        <w:rPr>
          <w:sz w:val="24"/>
          <w:vertAlign w:val="superscript"/>
        </w:rPr>
        <w:t>th</w:t>
      </w:r>
      <w:r w:rsidR="007D473C" w:rsidRPr="00924396">
        <w:rPr>
          <w:sz w:val="24"/>
        </w:rPr>
        <w:t xml:space="preserve"> or 10</w:t>
      </w:r>
      <w:r w:rsidR="000E0930" w:rsidRPr="00924396">
        <w:rPr>
          <w:sz w:val="24"/>
          <w:vertAlign w:val="superscript"/>
        </w:rPr>
        <w:t>th</w:t>
      </w:r>
      <w:r w:rsidR="003E0377">
        <w:rPr>
          <w:sz w:val="24"/>
        </w:rPr>
        <w:t xml:space="preserve"> through November</w:t>
      </w:r>
      <w:r w:rsidR="007D473C" w:rsidRPr="00924396">
        <w:rPr>
          <w:sz w:val="24"/>
        </w:rPr>
        <w:t xml:space="preserve"> </w:t>
      </w:r>
      <w:proofErr w:type="gramStart"/>
      <w:r w:rsidR="007D473C" w:rsidRPr="00924396">
        <w:rPr>
          <w:sz w:val="24"/>
        </w:rPr>
        <w:t>5</w:t>
      </w:r>
      <w:r w:rsidR="004F79D3" w:rsidRPr="003E0377">
        <w:rPr>
          <w:sz w:val="24"/>
          <w:vertAlign w:val="superscript"/>
        </w:rPr>
        <w:t>th</w:t>
      </w:r>
      <w:proofErr w:type="gramEnd"/>
      <w:r w:rsidRPr="00924396">
        <w:rPr>
          <w:sz w:val="24"/>
        </w:rPr>
        <w:t xml:space="preserve"> (the last day to drop a course).  You may retake different versions of the test until you pass the exam.  If you have n</w:t>
      </w:r>
      <w:r w:rsidR="000E0930" w:rsidRPr="00924396">
        <w:rPr>
          <w:sz w:val="24"/>
        </w:rPr>
        <w:t xml:space="preserve">ot passed the exam by </w:t>
      </w:r>
      <w:r w:rsidR="007D473C" w:rsidRPr="00924396">
        <w:rPr>
          <w:sz w:val="24"/>
        </w:rPr>
        <w:t>Nov</w:t>
      </w:r>
      <w:r w:rsidR="003E0377">
        <w:rPr>
          <w:sz w:val="24"/>
        </w:rPr>
        <w:t>ember</w:t>
      </w:r>
      <w:r w:rsidR="007D473C" w:rsidRPr="00924396">
        <w:rPr>
          <w:sz w:val="24"/>
        </w:rPr>
        <w:t xml:space="preserve"> </w:t>
      </w:r>
      <w:proofErr w:type="gramStart"/>
      <w:r w:rsidR="007D473C" w:rsidRPr="00924396">
        <w:rPr>
          <w:sz w:val="24"/>
        </w:rPr>
        <w:t>5</w:t>
      </w:r>
      <w:r w:rsidR="004F79D3" w:rsidRPr="003E0377">
        <w:rPr>
          <w:sz w:val="24"/>
          <w:vertAlign w:val="superscript"/>
        </w:rPr>
        <w:t>th</w:t>
      </w:r>
      <w:proofErr w:type="gramEnd"/>
      <w:r w:rsidRPr="00924396">
        <w:rPr>
          <w:sz w:val="24"/>
        </w:rPr>
        <w:t>, you must either drop the course or else receive a failing grade.</w:t>
      </w:r>
    </w:p>
    <w:p w:rsidR="00B0787A" w:rsidRPr="00924396" w:rsidRDefault="00B0787A" w:rsidP="003E0377">
      <w:pPr>
        <w:pStyle w:val="BodyText"/>
        <w:spacing w:after="240"/>
        <w:rPr>
          <w:sz w:val="24"/>
        </w:rPr>
      </w:pPr>
      <w:r w:rsidRPr="00924396">
        <w:rPr>
          <w:sz w:val="24"/>
        </w:rPr>
        <w:t>The purposes of this test include; (1) to motivate mastery of basic pencil and paper skills; (2) to indicate a high degree of accuracy in performing basic skills.</w:t>
      </w:r>
    </w:p>
    <w:p w:rsidR="004E7254" w:rsidRPr="00924396" w:rsidRDefault="004E7254" w:rsidP="003E0377">
      <w:pPr>
        <w:pStyle w:val="BodyText"/>
        <w:spacing w:after="240"/>
        <w:rPr>
          <w:sz w:val="24"/>
        </w:rPr>
      </w:pPr>
      <w:r w:rsidRPr="00924396">
        <w:rPr>
          <w:sz w:val="24"/>
        </w:rPr>
        <w:t xml:space="preserve">* Academic honesty and integrity policy can be found at </w:t>
      </w:r>
      <w:hyperlink r:id="rId5" w:tgtFrame="_blank" w:history="1">
        <w:r w:rsidRPr="00924396">
          <w:rPr>
            <w:rStyle w:val="Hyperlink"/>
            <w:sz w:val="24"/>
          </w:rPr>
          <w:t>http://www.pittstate.edu/audiences/current-students/policies/rights-and-responsibilities/academic-misconduct.dot</w:t>
        </w:r>
      </w:hyperlink>
    </w:p>
    <w:p w:rsidR="004E7254" w:rsidRPr="00924396" w:rsidRDefault="004E7254" w:rsidP="003E0377">
      <w:pPr>
        <w:pStyle w:val="BodyText"/>
        <w:spacing w:after="240"/>
        <w:rPr>
          <w:sz w:val="24"/>
        </w:rPr>
      </w:pPr>
      <w:r w:rsidRPr="00924396">
        <w:rPr>
          <w:sz w:val="24"/>
        </w:rPr>
        <w:t xml:space="preserve">* The Syllabi Supplement, a “one-stop” place for students to access up-to-date information about campus resources can be found at </w:t>
      </w:r>
      <w:hyperlink r:id="rId6" w:history="1">
        <w:r w:rsidR="000E0930" w:rsidRPr="00924396">
          <w:rPr>
            <w:rStyle w:val="Hyperlink"/>
            <w:sz w:val="24"/>
          </w:rPr>
          <w:t>http://www.pittstate.edu/dotAsset/6c552e9b-8c3c-415e-b874-15006b8d85d0.pdf</w:t>
        </w:r>
      </w:hyperlink>
    </w:p>
    <w:sectPr w:rsidR="004E7254" w:rsidRPr="009243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76D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C80C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62AC2"/>
    <w:multiLevelType w:val="hybridMultilevel"/>
    <w:tmpl w:val="D67E2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22C5"/>
    <w:multiLevelType w:val="hybridMultilevel"/>
    <w:tmpl w:val="37C04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420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F744C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41AFD"/>
    <w:multiLevelType w:val="hybridMultilevel"/>
    <w:tmpl w:val="2334DF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0437C"/>
    <w:multiLevelType w:val="singleLevel"/>
    <w:tmpl w:val="40B26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C47286A"/>
    <w:multiLevelType w:val="hybridMultilevel"/>
    <w:tmpl w:val="61684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0"/>
    <w:rsid w:val="000E0930"/>
    <w:rsid w:val="0011095B"/>
    <w:rsid w:val="00321D22"/>
    <w:rsid w:val="00341BBE"/>
    <w:rsid w:val="00365C1F"/>
    <w:rsid w:val="003E0377"/>
    <w:rsid w:val="00490D2C"/>
    <w:rsid w:val="004E7254"/>
    <w:rsid w:val="004F79D3"/>
    <w:rsid w:val="00536B6E"/>
    <w:rsid w:val="005F6A23"/>
    <w:rsid w:val="00677090"/>
    <w:rsid w:val="007D473C"/>
    <w:rsid w:val="0081044D"/>
    <w:rsid w:val="008D1E3F"/>
    <w:rsid w:val="009148C0"/>
    <w:rsid w:val="00924396"/>
    <w:rsid w:val="00974992"/>
    <w:rsid w:val="00B03598"/>
    <w:rsid w:val="00B0787A"/>
    <w:rsid w:val="00BA0E65"/>
    <w:rsid w:val="00CF6063"/>
    <w:rsid w:val="00D479D4"/>
    <w:rsid w:val="00E5049A"/>
    <w:rsid w:val="00E84DE1"/>
    <w:rsid w:val="00F647B8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CCC34"/>
  <w15:chartTrackingRefBased/>
  <w15:docId w15:val="{18668199-5838-47A7-B0CE-8D95E97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92439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243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648">
              <w:marLeft w:val="0"/>
              <w:marRight w:val="0"/>
              <w:marTop w:val="0"/>
              <w:marBottom w:val="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389">
                  <w:blockQuote w:val="1"/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single" w:sz="18" w:space="10" w:color="0000FF"/>
                    <w:bottom w:val="none" w:sz="0" w:space="0" w:color="auto"/>
                    <w:right w:val="single" w:sz="18" w:space="8" w:color="0000FF"/>
                  </w:divBdr>
                </w:div>
              </w:divsChild>
            </w:div>
          </w:divsChild>
        </w:div>
      </w:divsChild>
    </w:div>
    <w:div w:id="625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439">
              <w:marLeft w:val="0"/>
              <w:marRight w:val="0"/>
              <w:marTop w:val="0"/>
              <w:marBottom w:val="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564">
                  <w:blockQuote w:val="1"/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single" w:sz="18" w:space="10" w:color="0000FF"/>
                    <w:bottom w:val="none" w:sz="0" w:space="0" w:color="auto"/>
                    <w:right w:val="single" w:sz="18" w:space="8" w:color="00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ttstate.edu/dotAsset/6c552e9b-8c3c-415e-b874-15006b8d85d0.pdf" TargetMode="External"/><Relationship Id="rId5" Type="http://schemas.openxmlformats.org/officeDocument/2006/relationships/hyperlink" Target="http://www.pittstate.edu/audiences/current-students/policies/rights-and-responsibilities/academic-misconduct.d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113 - College Algebra</vt:lpstr>
    </vt:vector>
  </TitlesOfParts>
  <Company>Pittsburg State University</Company>
  <LinksUpToDate>false</LinksUpToDate>
  <CharactersWithSpaces>6052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http://www.pittstate.edu/dotAsset/6c552e9b-8c3c-415e-b874-15006b8d85d0.pdf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http://www.pittstate.edu/audiences/current-students/policies/rights-and-responsibilities/academic-misconduct.dot</vt:lpwstr>
      </vt:variant>
      <vt:variant>
        <vt:lpwstr/>
      </vt:variant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mailto:mwebb@gus.pittstate.edu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113 - College Algebra</dc:title>
  <dc:subject/>
  <dc:creator>Karla M. Childs</dc:creator>
  <cp:keywords/>
  <dc:description/>
  <cp:lastModifiedBy>Tim Flood</cp:lastModifiedBy>
  <cp:revision>11</cp:revision>
  <cp:lastPrinted>2003-04-02T19:01:00Z</cp:lastPrinted>
  <dcterms:created xsi:type="dcterms:W3CDTF">2018-12-17T15:11:00Z</dcterms:created>
  <dcterms:modified xsi:type="dcterms:W3CDTF">2018-12-19T17:07:00Z</dcterms:modified>
</cp:coreProperties>
</file>